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C2" w:rsidRPr="00023BC2" w:rsidRDefault="00023BC2" w:rsidP="00023B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дошкольного образовательного учреждения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                      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23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   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3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     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Программа развития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муниципального дошкольного образовательного учреждения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детский сад №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4</w:t>
      </w:r>
      <w:r w:rsidRPr="00023BC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3</w:t>
      </w:r>
      <w:r w:rsidRPr="00023BC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7</w:t>
      </w:r>
      <w:r w:rsidRPr="00023BC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г.г.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П.Сокольники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Содержание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Паспорт Программы развития… 3</w:t>
      </w:r>
    </w:p>
    <w:p w:rsidR="00023BC2" w:rsidRPr="00023BC2" w:rsidRDefault="00023BC2" w:rsidP="00023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Информационно-аналитические данные о муниципальном дошкольном образовательном учреждении детский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–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</w:p>
    <w:p w:rsidR="00023BC2" w:rsidRPr="00023BC2" w:rsidRDefault="00023BC2" w:rsidP="00023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анализа потенциала МДОУ детский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                                                                                                             -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</w:p>
    <w:p w:rsidR="00023BC2" w:rsidRPr="00023BC2" w:rsidRDefault="00023BC2" w:rsidP="00023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и стратегия развития МДОУ детский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                                                                                                            -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</w:p>
    <w:p w:rsidR="00023BC2" w:rsidRPr="00023BC2" w:rsidRDefault="00023BC2" w:rsidP="00023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направления по реализации программы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-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</w:p>
    <w:p w:rsidR="00023BC2" w:rsidRPr="00023BC2" w:rsidRDefault="00023BC2" w:rsidP="00023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Прогнозируемый результат реализации Программы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-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</w:p>
    <w:p w:rsidR="00023BC2" w:rsidRPr="00023BC2" w:rsidRDefault="00023BC2" w:rsidP="00023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результативности инновационной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-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</w:p>
    <w:p w:rsidR="00023BC2" w:rsidRPr="00023BC2" w:rsidRDefault="00023BC2" w:rsidP="00023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управленческого сопровождения реализации Программы развития МДОУ детский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                                  -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.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_250000"/>
      <w:bookmarkEnd w:id="0"/>
    </w:p>
    <w:p w:rsid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I.  Паспорт программы развития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48"/>
        <w:gridCol w:w="6672"/>
        <w:gridCol w:w="50"/>
      </w:tblGrid>
      <w:tr w:rsidR="00023BC2" w:rsidRPr="00023BC2" w:rsidTr="00023BC2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 развития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муниципального дошкольного образовательного учреждения  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</w:tr>
      <w:tr w:rsidR="00023BC2" w:rsidRPr="00023BC2" w:rsidTr="00023BC2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база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 Федеральный закон от 21.12.2012 № 273-ФЗ «Об образовании в Российской Федерации» (далее – Федеральный закон «Об образовании в Российской Федерации»).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 Приказ Министерства образования и науки Российской федерации от 17 октября 2013 г. № 1155 «Об утверждении федерального          государственного образовательного стандарта дошкольного образования».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 Единый квалификационный справочник должностей руководителей, специалистов и служащих, раздел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«Квалификационные характеристики должностей работников образования» (Приказ Министерства здравоохранения и социального развития РФ от 26.08.2010 г. № 761н).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 СанПиН 2.4.1.3049-13 «Санитарно-эпидемиологические требования к устройству, содержанию и организации режима работы в дошкольных организациях» (Постановление Главного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санитарного врача Российской Федерации от 15 мая 2013 г. № 26).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 Устав МДОУ.</w:t>
            </w:r>
          </w:p>
        </w:tc>
      </w:tr>
      <w:tr w:rsidR="00023BC2" w:rsidRPr="00023BC2" w:rsidTr="00023BC2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Разработчики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34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34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3BC2" w:rsidRPr="00023BC2" w:rsidTr="00023BC2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дети, родители.</w:t>
            </w:r>
          </w:p>
        </w:tc>
      </w:tr>
      <w:tr w:rsidR="00023BC2" w:rsidRPr="00023BC2" w:rsidTr="00023BC2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повышения качества образования в ДОУ 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условий для получения качественного дошкольного образования и обеспечение социализации каждого ребенка в условиях дошкольного образовательного учреждения,        в    соответствии    с    ФГОС    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      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разностороннее,      полноценное      развитие       каждого ребенка    с учетом    его    индивидуальных    особенностей    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BC2" w:rsidRPr="00023BC2" w:rsidTr="000C6555">
        <w:trPr>
          <w:tblCellSpacing w:w="15" w:type="dxa"/>
        </w:trPr>
        <w:tc>
          <w:tcPr>
            <w:tcW w:w="2748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7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   (в том числе одарённых детей, детей с ОВЗ и инвалидов);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создание            материально-технических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 педагогических и кадровых условий в рамках организации внутренней системы качественного образования в МДОУ;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   использование возможностей сетевого взаимодействия и интеграции в образовательном процессе в рамках экспериментальной и инновационной деятельности;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 создание условий для повышения мотивации профессиональной деятельности педагогов МДОУ, через формирование компетенций в соответствии с требованиями Профессионального стандарта.</w:t>
            </w:r>
          </w:p>
        </w:tc>
      </w:tr>
      <w:tr w:rsidR="00023BC2" w:rsidRPr="00023BC2" w:rsidTr="000C6555">
        <w:trPr>
          <w:tblCellSpacing w:w="15" w:type="dxa"/>
        </w:trPr>
        <w:tc>
          <w:tcPr>
            <w:tcW w:w="2748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                             функции Программы</w:t>
            </w:r>
          </w:p>
        </w:tc>
        <w:tc>
          <w:tcPr>
            <w:tcW w:w="6677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-Определяет стратегию развития детского сада;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-выделяет приоритетные направления работы;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-ориентирует всю деятельность на конечный результат.</w:t>
            </w:r>
          </w:p>
        </w:tc>
      </w:tr>
      <w:tr w:rsidR="00023BC2" w:rsidRPr="00023BC2" w:rsidTr="000C6555">
        <w:trPr>
          <w:tblCellSpacing w:w="15" w:type="dxa"/>
        </w:trPr>
        <w:tc>
          <w:tcPr>
            <w:tcW w:w="2748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                          показатели (индикаторы)</w:t>
            </w:r>
          </w:p>
        </w:tc>
        <w:tc>
          <w:tcPr>
            <w:tcW w:w="6677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-Обеспечение обновления ДОО в соответствии с требованиями ФГОС к минимальной оснащённости воспитательного процесса.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технологической культуры педагогов и повышение компетентности педагогов в области применения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Создание базы методических разработок с использованием ИКТ для развития творческого потенциала ребенка в условиях ДОУ.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-Уровень соответствия предметно-развивающей среды требованиям ФГОС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– высокий.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состояния физического, психического и социального здоровья детей.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степени удовлетворенности населения работой </w:t>
            </w:r>
            <w:r w:rsidR="000C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0C6555" w:rsidRDefault="00023BC2" w:rsidP="000C6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-Расширение области участия родителей в деятельности М</w:t>
            </w:r>
            <w:r w:rsidR="000C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         (участии их в образовательном процессе, в проведении совместных мероприятий); укрепление</w:t>
            </w:r>
          </w:p>
          <w:p w:rsidR="00023BC2" w:rsidRPr="000C6555" w:rsidRDefault="00023BC2" w:rsidP="000C6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C6555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МДОУ и семьи.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    уровня    правовой    культуры    всех                         участников образовательного пространства.</w:t>
            </w:r>
          </w:p>
        </w:tc>
      </w:tr>
      <w:tr w:rsidR="00023BC2" w:rsidRPr="00023BC2" w:rsidTr="000C6555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              Повышение качества образования в рамках обеспечения полноценного личностного развития, физиологического и психологического благополучия ребенка в переходный период от дошкольного воспитания к школе.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 Совершенствование системы управления качеством образования в ДОУ,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:rsidR="00023BC2" w:rsidRPr="00023BC2" w:rsidRDefault="000C6555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BC2"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 Повышение мотивации профессиональной деятельности педагогов МОУ, формирование компетенций в соответствии с требованиями Профессионального стандарта.</w:t>
            </w:r>
          </w:p>
          <w:p w:rsidR="00023BC2" w:rsidRPr="00023BC2" w:rsidRDefault="000C6555" w:rsidP="000C6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3BC2"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 Обеспечение психолого-педагогической поддержки семьи и повышение компетентности родителей (законных </w:t>
            </w:r>
            <w:r w:rsidR="00023BC2"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установление партнерских отношений</w:t>
            </w:r>
          </w:p>
        </w:tc>
      </w:tr>
      <w:tr w:rsidR="00023BC2" w:rsidRPr="00023BC2" w:rsidTr="000C6555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355F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           и                     этапы реализации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будет реализована в 202</w:t>
            </w:r>
            <w:r w:rsidR="000C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C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в три этапа.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1-ый этап – подготовительный (202</w:t>
            </w:r>
            <w:r w:rsidR="00355F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3</w:t>
            </w: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-202</w:t>
            </w:r>
            <w:r w:rsidR="00355F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4</w:t>
            </w: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.г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)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разработка документации для успешной реализации мероприятий в соответствии с Программой развития;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2-ой этап – практический (202</w:t>
            </w:r>
            <w:r w:rsidR="00355F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4</w:t>
            </w: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-202</w:t>
            </w:r>
            <w:r w:rsidR="00355F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5</w:t>
            </w: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.г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)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апробирование модели, обновление содержания организационных форм, педагогических технологий;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   постепенная реализация мероприятий в соответствии с Программой развития;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коррекция мероприятий.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3-ий этап – итоговый (202</w:t>
            </w:r>
            <w:r w:rsidR="00355F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6</w:t>
            </w: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-202</w:t>
            </w:r>
            <w:r w:rsidR="00355F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7</w:t>
            </w:r>
            <w:r w:rsidRPr="0002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уч.г.)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реализация мероприятий, направленных на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  <w:proofErr w:type="gramEnd"/>
          </w:p>
        </w:tc>
      </w:tr>
      <w:tr w:rsidR="00023BC2" w:rsidRPr="00023BC2" w:rsidTr="00355F5D">
        <w:trPr>
          <w:gridAfter w:val="1"/>
          <w:wAfter w:w="5" w:type="dxa"/>
          <w:tblCellSpacing w:w="15" w:type="dxa"/>
        </w:trPr>
        <w:tc>
          <w:tcPr>
            <w:tcW w:w="27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90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распространение полученных результатов;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 достижения цели и решения задач, обозначенных в Программе развития.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Информационно-аналитические данные о муниципальном дошкольном образовательном учреждении</w:t>
      </w:r>
    </w:p>
    <w:p w:rsidR="00023BC2" w:rsidRPr="00355F5D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5F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детский сад № </w:t>
      </w:r>
      <w:r w:rsidR="00355F5D" w:rsidRPr="00355F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история и сведения о дошкольном образовательном учреждении.</w:t>
      </w:r>
    </w:p>
    <w:p w:rsidR="00355F5D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детский сад № </w:t>
      </w:r>
      <w:r w:rsidR="00355F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открыт в 1986 году. 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Юридический адрес: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Тверская область,</w:t>
      </w:r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Кувшиновский </w:t>
      </w:r>
      <w:proofErr w:type="spellStart"/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район,п</w:t>
      </w:r>
      <w:proofErr w:type="gramStart"/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окольники</w:t>
      </w:r>
      <w:proofErr w:type="spellEnd"/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ул.Советскаяд</w:t>
      </w:r>
      <w:proofErr w:type="spellEnd"/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Почтовый адрес: </w:t>
      </w:r>
      <w:r w:rsidR="00341EB9">
        <w:rPr>
          <w:rFonts w:ascii="Times New Roman" w:eastAsia="Times New Roman" w:hAnsi="Times New Roman" w:cs="Times New Roman"/>
          <w:sz w:val="24"/>
          <w:szCs w:val="24"/>
          <w:lang w:eastAsia="ru-RU"/>
        </w:rPr>
        <w:t>172131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Телефон: </w:t>
      </w:r>
      <w:r w:rsidR="00460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8(48257)65-2-48</w:t>
      </w:r>
    </w:p>
    <w:p w:rsidR="00023BC2" w:rsidRPr="00460908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Финансирование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бюджетное, внебюджетное. </w:t>
      </w: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почта: </w:t>
      </w:r>
      <w:hyperlink r:id="rId6" w:history="1">
        <w:r w:rsidR="00460908" w:rsidRPr="006D7E1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ds4</w:t>
        </w:r>
        <w:r w:rsidR="00460908" w:rsidRPr="006D7E1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sokol</w:t>
        </w:r>
        <w:r w:rsidR="00460908" w:rsidRPr="006D7E1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60908" w:rsidRPr="006D7E1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460908" w:rsidRPr="006D7E1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Официальный сайт:  </w:t>
      </w:r>
      <w:hyperlink r:id="rId7" w:tgtFrame="_blank" w:history="1">
        <w:r w:rsidR="00460908" w:rsidRPr="00B3505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https://ds4-sokol.tvoysadik.ru</w:t>
        </w:r>
      </w:hyperlink>
      <w:r w:rsidR="00460908" w:rsidRPr="00B3505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 об учредителе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</w:t>
      </w:r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пальное учреждение </w:t>
      </w:r>
      <w:proofErr w:type="gramStart"/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образования Кувшиновского МО Тверской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Функции и полномочия учредителя Учреждения осуществляю</w:t>
      </w:r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администрацией города Кувшиново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руководителе ДОУ: </w:t>
      </w:r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Яна Александровна, заведующий М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№4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Лицензия на образовательную деятельность: </w:t>
      </w:r>
      <w:r w:rsidR="00460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69Л01 № 0001724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</w:p>
    <w:p w:rsidR="00023BC2" w:rsidRPr="00023BC2" w:rsidRDefault="00460908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71  от 04.02.2016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proofErr w:type="gramStart"/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</w:t>
      </w:r>
      <w:proofErr w:type="gramEnd"/>
      <w:r w:rsidR="00925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образования Твер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 – бессрочно.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Устав </w:t>
      </w:r>
      <w:r w:rsidR="00925D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дошкольного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</w:t>
      </w:r>
      <w:r w:rsidR="00925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№4 .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пост</w:t>
      </w:r>
      <w:r w:rsidR="00925D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ановлением администрации Кувшиновского района  от 7 декабря  2015 года № 458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2.  Режим работы.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925DE8" w:rsidP="0092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по пятидневной рабочей неделе с 07.00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часовым пребыванием детей. В детский сад принимаются дети от 3 до 7 лет.</w:t>
      </w:r>
    </w:p>
    <w:p w:rsidR="00023BC2" w:rsidRPr="00023BC2" w:rsidRDefault="00925DE8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функционирует 1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посещает 10 воспитанников</w:t>
      </w:r>
      <w:r w:rsidR="00023BC2"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3.  Обеспечение безопасности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Паспорт безопасности 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учреждения детский сад № 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(08.11.2024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г), согласован с 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помощником начальника УФСБ России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М.В. Кононенко, начальником ГУ МЧС России по Тверской области Григорян А.Р.,  начальником ОВО по Торжокскому району филиал ФГКУ УВО ВНГ России по Тверской области майором полиции Куликовым Д.М.</w:t>
      </w:r>
      <w:proofErr w:type="gramEnd"/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дорожной безопасности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(типовой) муниципального дошкольного образовательного учреждения 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согласован: с начальником 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ОГИБДД МО МВД России «Торжокский»02.09.2023 С.А. </w:t>
      </w:r>
      <w:proofErr w:type="spellStart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Репашевским</w:t>
      </w:r>
      <w:proofErr w:type="spellEnd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руководителем отдела образования </w:t>
      </w:r>
      <w:proofErr w:type="spellStart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увшиново</w:t>
      </w:r>
      <w:proofErr w:type="spellEnd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Тверская область Н.В. Жуковой, утвержден заведующей МДОУ детский сад №4 </w:t>
      </w:r>
      <w:proofErr w:type="spellStart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Я.А.Егоровой</w:t>
      </w:r>
      <w:proofErr w:type="spellEnd"/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установлена «тревожная сигнализация» вневедомственной охраны, автоматическая установка пожарной сигнализации и голосового оповещения при пожаре.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ведутся мероприятия по соблюдению правил пожарной безопасности и ПДД. Педагоги ДОУ систематически проводят с детьми мероприятия по ОБЖ и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чрезвычайных ситуациях.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условия микрорайона способствуют успешной социализации воспитанников ДОУ. Педагоги имеют возможность знакомить дошкольников </w:t>
      </w:r>
      <w:r w:rsidR="00925D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социальной действительностью.</w:t>
      </w:r>
      <w:r w:rsidR="00DC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приказы, локальные акты, работает комиссия по охране труда. Все предписания контролирующих органов своевременно исполняются.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A87EF4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4. </w:t>
      </w:r>
      <w:r w:rsidR="00023BC2"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Кадровые ресурсы.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МДОУ работают 2 педагога: 2воспитателя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среднее образование имеют  – 2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Аттестован 1  педагог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первую категорию,1 педагог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аттестов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ответствие занимаемой должности.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стаж работы имеют: 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10 лет – 2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качества сотрудников, умение общаться, снимать психологическую нагрузку. Педагоги ДОУ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систематически повышают свою квалификацию на курсах повышения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обмениваясь полученными знаниями с коллегами на семинарах, педсоветах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свидетельствует о положительной работе администрации, направленной на личностно-профессиональный рост всего коллектива.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сложился стабильный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коллектив, нацеленный на совершенствование собственной профессиональной компетентности, саморазвитие. Творческие 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активно поддерживаются администрацией учреждения.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ДОУ активно принимают участие в педагогических конкурсах, что способствует развитию их профессионально – педагогической компетентности. Средний возраст педагогов – 40 лет. Это значит, что в коллективе самым благоприятным образом сочетается молодой задор, уверенность зрелости и опыт мудрости. Команда единомышленников, педагоги в содружестве с родительской общественностью и социальными партнёрами решают задачи, поставленные перед образованием. Совет Учреждения наряду с другими вопросами определяет стратегию развития ДОУ как инновационного образовательного учреждения. Тем не менее, остаются актуальными проблемы, связанные с деятельностью молодых педагогов, по трансляции передового педагогического опыта, а так же с вялой инициативностью некоторого процента педагогов в динамичном отходе от консервативной учебной модели, перестройке социально-психологического мышления и педагогического мировоззрения в условиях ФГОС ДО.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III.  </w:t>
      </w:r>
      <w:r w:rsidR="00A87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Результаты анализа потенциала М</w:t>
      </w: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ДОУ </w:t>
      </w:r>
      <w:r w:rsidR="00A87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детский сад №4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2280"/>
        <w:gridCol w:w="2340"/>
        <w:gridCol w:w="2550"/>
      </w:tblGrid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Сильная сторона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Слабая сторона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Перспективы развития</w:t>
            </w: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риски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Кадровое обеспечение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Слаженный коллектив опытных педагогов.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квалификация педагогов.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молодых специалистов без опыта работы или с маленьким опытом работы.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системы наставничества.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на курсах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(краткосрочных,</w:t>
            </w:r>
            <w:proofErr w:type="gramEnd"/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Большие интеллектуальные и энергетические затраты. Не востребованность интеллектуального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продукта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2280"/>
        <w:gridCol w:w="2340"/>
        <w:gridCol w:w="2550"/>
      </w:tblGrid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плану.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переподготовки). Участие в научных конференциях, семинарах, круглых столах на уровне города, области.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участие в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конкурсном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всех уровнях</w:t>
            </w: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коллектива.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Материально-техническое обеспечение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материально- технической базы, соответствующей современным требованиям.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периодическими изданиями методического кабинета.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оснащения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образовательной среды.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Дооснастить учреждение компьютерным оборудованием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финансирование.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Содержание образовательной деятельности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парциальных и вариативных программ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зависимости от интеллектуальных возможностей детей и педагогов. Высокий уровень качества образовательных услуг. Использование инновационных технологий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рамках экспериментальной и инновационной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программ по работе с одаренными детьми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 по работе с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одарёнными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детьми. Оптимизация программ по работе с детьми ОВЗ и инвалидами.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работе с детьми раннего возраста в рамах апробации программы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у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мотивации к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профессиональному совершенствованию.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Содержание оздоровительной работы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Сложившаяся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части педагогов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2280"/>
        <w:gridCol w:w="2340"/>
        <w:gridCol w:w="2550"/>
      </w:tblGrid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оздоровительных мероприятий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в ДОУ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оборудованного спортивного зала.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инструктора по физической культуре, инструктора по плаванию.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преобладают традиционные подходы к концепции построения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мероприятий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инновационного подхода к вопросам оздоровления всеми педагогами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 образа жизни среди родителей.</w:t>
            </w: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и педагогов потребности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здоровом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 Непонимание родителями важности соблюдения режима и организации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физического развития детей в домашних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условиях.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профилактических мероприятий.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активных видов деятельности.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подход к детям: формирование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 здоровья.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 кабинета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(медицинская сестра).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Инновационная и экспериментальная деятельность в ДОУ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педагогический процесс ДОУ: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Программ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 старшего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 Системы патриотического воспитания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Проектов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Недостаток творческой инициативы родителей, педагогов в различных направлениях совместной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разработку и внедрение инновационных проектов, программ,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и форм работы в детском саду.</w:t>
            </w: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2280"/>
        <w:gridCol w:w="2340"/>
        <w:gridCol w:w="2550"/>
      </w:tblGrid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партнерства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всех участников образовательного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Работа с родителями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оценке качества удовлетворённости предоставляемых образовательных услуг, выявлению потребностей в образовательных и оздоровительных услугах. Дни открытых дверей.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досуговые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с участием родителей.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Малая активность по участию в совместных мероприятиях для детей и родителей (спортивных, игровых,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досуговых).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инициативы со стороны родителей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разработке совместных проектов и мероприятий</w:t>
            </w: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Оптимизация деятельности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родителями (поиск новых форм и видов деятельности и т.д.)</w:t>
            </w: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Перенесение на ДОУ ответственности за воспитание детей.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времени у родителей.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совместных проектов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совместных работ детей и родителей.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 методический центр по взаимодействию ДОО и родительской общественности</w:t>
            </w:r>
          </w:p>
        </w:tc>
        <w:tc>
          <w:tcPr>
            <w:tcW w:w="225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A87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онцепция и стратегия развития МДОУ детский сад № 4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концептуальной идеей реализации воспитательно-образовательной работы является создание педагогической системы, отвечающей современным требованиям воспитания и развития ребенка, формирование активной личности, способной реализовать и проявлять свой внутренний потенциал в современном мире, способного активно мыслить и действовать. Педагогическая система ДОУ формируется на основе анализа предыдущей деятельности и глубинного изучения внутренних потенциальных возможностей, профессионального уровня педагогов ДОУ, возможных ресурсов,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процесса,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требует создания в ДОУ условий для сохранения и укрепления здоровья детей (как физического, так и психического), приобщение их к ЗОЖ, формирования основ физической культуры.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детства акцентирует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всего вышесказанного, концептуа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направлениями развития МДОУ детский сад № 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служат: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здоровье сберегающих технологий;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023BC2" w:rsidRPr="00023BC2" w:rsidRDefault="00023BC2" w:rsidP="00A87EF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способных и одаренных детей;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дифференцированной модели повышения профессионального уровня педагогов в соответствии с требованиями профессиональных стандартов;</w:t>
      </w:r>
    </w:p>
    <w:p w:rsidR="00023BC2" w:rsidRPr="00023BC2" w:rsidRDefault="00023BC2" w:rsidP="00A87EF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спектра дополнительных образовательных услуг;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материально–технической базы ДОУ;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кадровой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педагогического взаимодействия с социальными партнерами.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Проектируемая нами модель образовательного процесса определяется концепцией, основные идеи которой:</w:t>
      </w:r>
    </w:p>
    <w:p w:rsidR="00023BC2" w:rsidRPr="00023BC2" w:rsidRDefault="00023BC2" w:rsidP="00023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каждого ребенка, как полноценное развитие, так и на оказание ему помощи в соответствии с функциональными отклонениями и интеллектуальными особенностями.</w:t>
      </w:r>
    </w:p>
    <w:p w:rsidR="00023BC2" w:rsidRPr="00023BC2" w:rsidRDefault="00023BC2" w:rsidP="00023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детства каждого ребенка, его уникальности и неповторимости.</w:t>
      </w:r>
    </w:p>
    <w:p w:rsidR="00023BC2" w:rsidRPr="00023BC2" w:rsidRDefault="00023BC2" w:rsidP="00023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ДОУ в режиме обновления содержания в соответствии с ФГОС Д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различных по содержанию современных комплексных и парциальных программ и технологий, их адаптация к приоритетам и специфике работы ДОУ) и его организационных форм (новые формы дошкольного образования, комплекс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образовательных услуг).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основе концепции развития ДОУ лежит возможность комплексного подхода к диагностической, образовательной, оздоровительной работе; интеграции детей с различным состоянием здоровья, уровнем развития для достижения максимального качества образовательного процесса; создания целостной системы, в которой все этапы работы с ребёнком взаимосвязаны.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вышесказанного, одним из аспектов 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направлений работы ДОУ, является взаимодействие педагогов и родителей (законных представителей) ребенка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следующий аспект программы развития ДОУ. Чтобы вовлечь родителей в решение проблем 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 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цель 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V.  Содержание и направления по реализации программы развития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515"/>
        <w:gridCol w:w="1965"/>
        <w:gridCol w:w="300"/>
        <w:gridCol w:w="2265"/>
      </w:tblGrid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программных мероприятий, мероприятия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(инновационные проекты)</w:t>
            </w:r>
          </w:p>
        </w:tc>
        <w:tc>
          <w:tcPr>
            <w:tcW w:w="2205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2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5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5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механизмов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качества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кадров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75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мониторинга качества оказываемых образовательных услуг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75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апробация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диагностических материалов, позволяющих контролировать качество образования на основе программных требований и ФГОС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75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рабочая группа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результативности качества образования детей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75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специалисты, воспитатели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условий для развития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одаренности детей.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75" w:type="dxa"/>
            <w:gridSpan w:val="2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специалисты,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4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515"/>
        <w:gridCol w:w="1965"/>
        <w:gridCol w:w="2520"/>
      </w:tblGrid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образовательных маршрутов для одаренных детей. Разработка и реализация программ для обучения и развития одаренных детей.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ДОУ по вопросам выявления и развития детской одаренности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условий для коррекционной помощи детям с ОВЗ и детям-инвалидам. Оптимизация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маршрутов и программ для детей с ОВЗ и детей-инвалидов.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работников </w:t>
            </w:r>
            <w:proofErr w:type="spell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ДОУпо</w:t>
            </w:r>
            <w:proofErr w:type="spell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коррекционного образования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специалисты, воспитатели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системы совместной деятельности с социальными институтами города,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семьями дошкольников, по приобщению к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здоровому образу жизни, формированию у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 элементарных чувств патриотизма и гражданственности,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нравственности, знакомству с региональным компонентом.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ВМР, специалисты,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официального сайта ДОУ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Совершенствование стратегии и тактики построения развивающей среды учреждения с учётом ФГОС ДО, учитывающей принцип динамичности 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развивающего обучения, возрастные, психологические, физические, гендерные особенности воспитанников, способствующей самореализации ребенка в разных видах деятельности.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 оборудования для реализации образовательных областей в соответствии с возрастными и гендерными особенностями дошкольников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направлениями Программы развития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АХР,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образовательного процесса учебн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методическими комплектами, дидактическими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пособиями в соответствии с ФГОС ДО и направлениями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АХР,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РППС в группах и на территории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для детей с ОВЗ и детей-инвалидов. Обеспечение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доступности дошкольного образования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АХР, ВМР, специалисты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515"/>
        <w:gridCol w:w="1965"/>
        <w:gridCol w:w="2520"/>
      </w:tblGrid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детей-инвалидов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Развитие компетенций педагогических работников, необходимых для создания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условий развития детей в соответствии с требованиями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профессиональных стандартов в ДОУ.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личных потребностей сотрудников в обучении.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повышения квалификации работников ДОУ.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наставничества для профессионального становления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специалистов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Выявление, обобщение и транслирование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передового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опыта на разных уровнях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конкурсы профессионального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мастерства, участие в конференциях, публикации в СМИ, официальном сайте ДОУ, проектную деятельность и т.д.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заведующего по 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плана мотивирования </w:t>
            </w:r>
            <w:proofErr w:type="spell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иинновационной</w:t>
            </w:r>
            <w:proofErr w:type="spell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педагогов, профилактики профессионального выгорания, стремления </w:t>
            </w:r>
            <w:proofErr w:type="spell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кповышению</w:t>
            </w:r>
            <w:proofErr w:type="spell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квалификации.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педагогов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технологиям взаимодействия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детьми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рабочая группа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подрастающего поколения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новых форм эффективного взаимодействия ДОУ с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социальными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партнерами по вопросам о воспитания и развития дошкольников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всестороннего развития способностей и творческого потенциала детей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 возраста через систему сотрудничества ДОУ с социальными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партнёрами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формирования положительного имиджа МБДОУ через участие детей, родителей, педагогов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сетевого взаимодействия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с использованием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кадрового потенциала и других ресурсов социальных партнеров в рамках сетевого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 ВМР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515"/>
        <w:gridCol w:w="1965"/>
        <w:gridCol w:w="2520"/>
      </w:tblGrid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совместной работы на официальном сайте учреждения, в СМИ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модели взаимодействия детского сада и семьи.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заместитель заведующего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модели работы с родителями одаренных детей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заведующего по 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модели работы с родителями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ОВЗ и детей-инвалидов. Создание системы консультирования и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 родителей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заведующего по 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сопровождение, консультирования родителей по </w:t>
            </w:r>
            <w:proofErr w:type="spell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вопросамразвития</w:t>
            </w:r>
            <w:proofErr w:type="spell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образования детей раннего возраста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заведующего по 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обучения и реализация системы инновационных форм взаимодействия с родителями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заведующего по 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систематической работы по выявлению уровня удовлетворённости родителей качеством предоставляемых образовательных услуг, а так </w:t>
            </w:r>
            <w:proofErr w:type="spell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жезапросов</w:t>
            </w:r>
            <w:proofErr w:type="spell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в рамках организации </w:t>
            </w:r>
            <w:proofErr w:type="spell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образовательного процесса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заведующего по ВМР, педагоги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66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  <w:tc>
          <w:tcPr>
            <w:tcW w:w="19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</w:t>
            </w:r>
          </w:p>
        </w:tc>
        <w:tc>
          <w:tcPr>
            <w:tcW w:w="247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заведующего по ВМР, педагоги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Прогнозируемый результат реализации Программы развития</w:t>
      </w:r>
      <w:proofErr w:type="gramStart"/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proofErr w:type="gramEnd"/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редполагается что: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23BC2" w:rsidRPr="00023BC2" w:rsidRDefault="00023BC2" w:rsidP="00023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воспитаннику будут предоставлены условия для полноценного личностного роста, созданы условия для формирования познавательная активность, самостоятельность, инициатива, творческие способности, гражданская позиция, способность к труду и жизни в условиях современного мира.</w:t>
      </w:r>
    </w:p>
    <w:p w:rsidR="00023BC2" w:rsidRPr="00023BC2" w:rsidRDefault="00023BC2" w:rsidP="00023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развития детей, в т.ч. для детей с ОВЗ, детей-инвалидов и одаренных детей.</w:t>
      </w:r>
    </w:p>
    <w:p w:rsidR="00023BC2" w:rsidRPr="00023BC2" w:rsidRDefault="00023BC2" w:rsidP="00023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образовательный проце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вкл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ючены цифровые образовательные ресурсы, с учетом потребностей детей, педагогов, родителей.</w:t>
      </w:r>
    </w:p>
    <w:p w:rsidR="00023BC2" w:rsidRPr="00023BC2" w:rsidRDefault="00023BC2" w:rsidP="00023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индивидуальные образовательные маршруты, в т.ч. для детей-инвалидов и одаренных детей.</w:t>
      </w:r>
    </w:p>
    <w:p w:rsidR="00023BC2" w:rsidRPr="00023BC2" w:rsidRDefault="00023BC2" w:rsidP="00023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Продолжена реализация проектов по инновационной деятельности в статусе экспериментальной площадки и муниципального методического ресурсного центра.</w:t>
      </w:r>
    </w:p>
    <w:p w:rsidR="00023BC2" w:rsidRPr="00023BC2" w:rsidRDefault="00023BC2" w:rsidP="00023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компетенций детей будет способствовать успешному обучению ребёнка в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соответствовать целевым ориентирам, представленным в ФГОС ДО.</w:t>
      </w:r>
    </w:p>
    <w:p w:rsidR="00023BC2" w:rsidRPr="00023BC2" w:rsidRDefault="00023BC2" w:rsidP="00023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Модернизирована материальная база, развивающая предметно – пространственная среда ДОУ.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педагогов: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педагогу предоставлена возможность для повышения уровня квалификации, профессионального мастерства и развития педагогических компетенций.</w:t>
      </w:r>
    </w:p>
    <w:p w:rsidR="00023BC2" w:rsidRPr="00023BC2" w:rsidRDefault="00023BC2" w:rsidP="00023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и профессиональные качества педагогических работников будут соответствовать требованиям профессиональных стандартов, в том числе оказана помощь в прохождении аттестации.</w:t>
      </w:r>
    </w:p>
    <w:p w:rsidR="00023BC2" w:rsidRPr="00023BC2" w:rsidRDefault="00023BC2" w:rsidP="00023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Созданы условия для участия педагогов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по инновационной деятельности в статусе экспериментальной площадки и муниципального методического ресурсного центра</w:t>
      </w:r>
    </w:p>
    <w:p w:rsidR="00023BC2" w:rsidRPr="00023BC2" w:rsidRDefault="00023BC2" w:rsidP="00023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трансляции опыта работы на муниципальном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 и всероссийском уровнях</w:t>
      </w:r>
    </w:p>
    <w:p w:rsidR="00023BC2" w:rsidRPr="00023BC2" w:rsidRDefault="00023BC2" w:rsidP="00023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Умеют ориентироваться в современных психолого-педагогических концепциях обучения, воспитания и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используют их как основу в своей педагогической деятельности.</w:t>
      </w:r>
    </w:p>
    <w:p w:rsidR="00023BC2" w:rsidRPr="00023BC2" w:rsidRDefault="00023BC2" w:rsidP="00023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умением планировать и оценивать уровень развития детей своей возрастной группы.</w:t>
      </w:r>
    </w:p>
    <w:p w:rsidR="00023BC2" w:rsidRPr="00023BC2" w:rsidRDefault="00023BC2" w:rsidP="00023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 используют элементарные средства диагностики и коррекции индивидуальных особенностей детей при реализации дифференцированного подхода.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Умеют работать     с     техническими    средствами    обучения,    видят       перспективу применения информационно-коммуникационных ресурсов в образовательном процессе;</w:t>
      </w:r>
    </w:p>
    <w:p w:rsidR="00023BC2" w:rsidRPr="00023BC2" w:rsidRDefault="00023BC2" w:rsidP="00023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Симулируют активность детей, их увлеченность познавательной и практической деятельностью.</w:t>
      </w:r>
    </w:p>
    <w:p w:rsidR="00023BC2" w:rsidRPr="00023BC2" w:rsidRDefault="00023BC2" w:rsidP="00023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 систему     комплексного     психолог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                 сопровождения воспитанников и их родителей;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-Владеют способами оптимизации образовательного процесса путем включения в него новых форм  дошкольного  образования.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-Включают     родителей     в     деятельность,     направленную     на                        создание       условий, способствующих развитию, оздоровлению и воспитанию их  детей.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-Владеет навыками анализа, прогнозирования и планирования своей деятельности. </w:t>
      </w:r>
      <w:r w:rsidRPr="00023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родителей.</w:t>
      </w:r>
    </w:p>
    <w:p w:rsidR="00023BC2" w:rsidRPr="00023BC2" w:rsidRDefault="00023BC2" w:rsidP="00023B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Оптимизирована модель взаимодействия детского сада и семьи.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реализованы проекты по работе с родителями с применением инновационных технологий в каждой возрастной группе детского сада.</w:t>
      </w:r>
    </w:p>
    <w:p w:rsidR="00023BC2" w:rsidRPr="00023BC2" w:rsidRDefault="00023BC2" w:rsidP="00023B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получения консультативной помощи в воспитании и развитии детей, в т.ч. для детей с ОВЗ, детей-инвалидов и одаренных детей.</w:t>
      </w:r>
    </w:p>
    <w:p w:rsidR="00023BC2" w:rsidRPr="00023BC2" w:rsidRDefault="00023BC2" w:rsidP="00023B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формирования у родителей позитивного отношения к овладению знаниями педагогики и психологии.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VII.                                             Оценка результативности инновационной деятельности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основе методики, разработанной Алексеем Майером, который определил критерии оценки уровня развития учреждения.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5535"/>
        <w:gridCol w:w="1590"/>
      </w:tblGrid>
      <w:tr w:rsidR="00023BC2" w:rsidRPr="00023BC2" w:rsidTr="00023BC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учреждения</w:t>
            </w:r>
          </w:p>
        </w:tc>
        <w:tc>
          <w:tcPr>
            <w:tcW w:w="5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уровня развития учреждения</w:t>
            </w:r>
          </w:p>
        </w:tc>
        <w:tc>
          <w:tcPr>
            <w:tcW w:w="154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(адаптация)</w:t>
            </w:r>
          </w:p>
        </w:tc>
        <w:tc>
          <w:tcPr>
            <w:tcW w:w="5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реализация образовательных услуг в пределах Госстандарта;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примат традиционного управления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(единоначалие, неразвитость горизонтальных</w:t>
            </w:r>
            <w:proofErr w:type="gramEnd"/>
          </w:p>
        </w:tc>
        <w:tc>
          <w:tcPr>
            <w:tcW w:w="154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5535"/>
        <w:gridCol w:w="1590"/>
      </w:tblGrid>
      <w:tr w:rsidR="00023BC2" w:rsidRPr="00023BC2" w:rsidTr="00023BC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связей);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приспособление к изменяющимся условиям (формальное развитие/функционирование);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результаты деятельности не выходят за рамки планируемых результатов;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отношения между участниками образовательного процесса характеризуются как субъектн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объектные;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  формальное сплочение родительского,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и детского сообществ;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максимальный результат взаимодействия – перевод педагогов, родителей и детей на позиции субъектов</w:t>
            </w:r>
          </w:p>
        </w:tc>
        <w:tc>
          <w:tcPr>
            <w:tcW w:w="154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уровень (интеграция)</w:t>
            </w:r>
          </w:p>
        </w:tc>
        <w:tc>
          <w:tcPr>
            <w:tcW w:w="5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реализация образовательных услуг с учетом социального заказа родителей;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  примат </w:t>
            </w:r>
            <w:proofErr w:type="spell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соуправления</w:t>
            </w:r>
            <w:proofErr w:type="spell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(родители, педагоги, дети формально участвуют в управлении, принятии непринципиальных решений):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формальное или содержательное сплочение педагогического, родительского, детского сообществ;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результаты деятельности отличаются субъективной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новизной;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отношения между участниками образовательного процесса характеризуются как субъектн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субъектные;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максимальный результат взаимодействия перевод педагогов, родителей, детей на позицию личностного развития</w:t>
            </w:r>
          </w:p>
        </w:tc>
        <w:tc>
          <w:tcPr>
            <w:tcW w:w="154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(индивидуализация)</w:t>
            </w:r>
          </w:p>
        </w:tc>
        <w:tc>
          <w:tcPr>
            <w:tcW w:w="55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реализация образовательных услуг с учетом личностных интересов и потребностей детей, педагогов, родителей;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  примат самоуправления (педагоги, дети и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– полноправные участники управления, принимают решения по принципиальным вопросам);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продуктивное взаимодействие педагогического, родительского и детского сообществ;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результаты деятельности отличаются объективной новизной;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отношения между участниками образовательного процесса характеризуются как полноценное взаимодействие личностей;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 результат взаимодействия – максимальное раскрытие каждого педагога, родителя, ребенка как неповторимой индивидуальности</w:t>
            </w:r>
          </w:p>
        </w:tc>
        <w:tc>
          <w:tcPr>
            <w:tcW w:w="154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13-16</w:t>
            </w: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этапе адаптации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этапе интеграции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этапе индивидуализации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:rsidR="00023BC2" w:rsidRPr="00023BC2" w:rsidRDefault="00023BC2" w:rsidP="00023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структурной организации социального заказа в области дошкольного образования (уровни: федеральный, национально-региональный,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внутриконституционный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23BC2" w:rsidRPr="00023BC2" w:rsidRDefault="00023BC2" w:rsidP="00023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 этапов и уровней развертывания сущностных сил субъекта: адаптация, интеграция, индивидуализация;</w:t>
      </w:r>
    </w:p>
    <w:p w:rsidR="00023BC2" w:rsidRPr="00023BC2" w:rsidRDefault="00023BC2" w:rsidP="00023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эволюции ведущих видов управления в ДОУ (традиционное, мотивационное программно-целевое,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соуправление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рефлексивное, самоуправление);</w:t>
      </w:r>
    </w:p>
    <w:p w:rsidR="00023BC2" w:rsidRPr="00023BC2" w:rsidRDefault="00023BC2" w:rsidP="00023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смены ведущих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взаимосвязанной деятельности субъектов процесса развития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ДОУ: воздействие, взаимодействие,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самовоздействие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реализации Программы развития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ДОУ, так же разработаны следующие </w:t>
      </w: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критерии, показатели и индикаторы.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2430"/>
        <w:gridCol w:w="1065"/>
        <w:gridCol w:w="1035"/>
        <w:gridCol w:w="1050"/>
        <w:gridCol w:w="1125"/>
        <w:gridCol w:w="1110"/>
      </w:tblGrid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и показатели</w:t>
            </w:r>
          </w:p>
        </w:tc>
        <w:tc>
          <w:tcPr>
            <w:tcW w:w="10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6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 правовая база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2430"/>
        <w:gridCol w:w="1065"/>
        <w:gridCol w:w="1035"/>
        <w:gridCol w:w="1050"/>
        <w:gridCol w:w="1125"/>
        <w:gridCol w:w="1110"/>
      </w:tblGrid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 требованиям</w:t>
            </w:r>
          </w:p>
        </w:tc>
        <w:tc>
          <w:tcPr>
            <w:tcW w:w="10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</w:t>
            </w:r>
            <w:proofErr w:type="spell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кадрами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85% </w:t>
            </w: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95%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категории у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ДОУ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 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категорию до 50% педагогов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 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категорию до 80% педагогов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 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категорию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 педагогов</w:t>
            </w:r>
          </w:p>
        </w:tc>
        <w:tc>
          <w:tcPr>
            <w:tcW w:w="10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полноценное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детей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 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 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 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работы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на разных уровнях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опыта работы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балла: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опыта работы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балла: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опыта работы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Всероссийском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партнерство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функционирования учреждения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открытого образовательного пространства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 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на уровне разовых мероприятий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  балла: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сотрудничеств,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перспективные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договора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2430"/>
        <w:gridCol w:w="1065"/>
        <w:gridCol w:w="1035"/>
        <w:gridCol w:w="1050"/>
        <w:gridCol w:w="1125"/>
        <w:gridCol w:w="1110"/>
      </w:tblGrid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данном направлении</w:t>
            </w:r>
          </w:p>
        </w:tc>
        <w:tc>
          <w:tcPr>
            <w:tcW w:w="10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к школьному обучению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80% детей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и выше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уровень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школьному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80-90 %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имеют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и выше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уровень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</w:t>
            </w: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школьному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детей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высокий и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школьному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воспитанников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Заболеваемости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Заболеваемости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от 5%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Заболеваемости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привычки к ЗОЖ</w:t>
            </w: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балл: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50%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 к ЗОЖ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респондентов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 к ЗОЖ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балла: </w:t>
            </w: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80%</w:t>
            </w: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2430"/>
        <w:gridCol w:w="1065"/>
        <w:gridCol w:w="1035"/>
        <w:gridCol w:w="1050"/>
        <w:gridCol w:w="1125"/>
        <w:gridCol w:w="1110"/>
      </w:tblGrid>
      <w:tr w:rsidR="00023BC2" w:rsidRPr="00023BC2" w:rsidTr="00023BC2">
        <w:trPr>
          <w:tblCellSpacing w:w="15" w:type="dxa"/>
        </w:trPr>
        <w:tc>
          <w:tcPr>
            <w:tcW w:w="237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положительно относятся к ЗОЖ и принимают участие в спортивно-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</w:t>
            </w:r>
          </w:p>
          <w:p w:rsidR="00023BC2" w:rsidRPr="00023BC2" w:rsidRDefault="00023BC2" w:rsidP="00023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</w:tc>
        <w:tc>
          <w:tcPr>
            <w:tcW w:w="103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023BC2" w:rsidRPr="00023BC2" w:rsidRDefault="00023BC2" w:rsidP="00023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VI. Механизм управленческого сопровождения </w:t>
      </w:r>
      <w:r w:rsidR="00A87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реализации Программы развития М</w:t>
      </w: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ДОУ </w:t>
      </w:r>
      <w:r w:rsidR="00A87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детский сад № 4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р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еализацией Программы развития МДОУ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 w:rsidR="00A8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учреждения, который в ходе реализации выполняет следующие функции: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текущее управление и координацию деятельности исполнителей программных мероприятий, обеспечивая их согласованные действия по выполнению программных мероприятий, а так же по целевому и эффективному использованию ресурсов;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выполнением программных мероприятий;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подготовку и своевременное представление предложений по финансированию программных мероприятий на очередной финансовый год;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ведение отчетности и обеспечивает информирование о реализации Программы развития заинтересованных лиц (участников образовательного процесса и других).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Программы развития образовательное учреждение вправе готовить предложения о внесении изменений (дополнений в Программу развития), приостановления или прекращения реализации отдельных программных мероприятий.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истечению срока действия Программы развития </w:t>
      </w:r>
      <w:proofErr w:type="gram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proofErr w:type="gram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дошкольного образовательного учреждения </w:t>
      </w:r>
      <w:r w:rsidR="00B06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разработку, согласование и утверждение новой Программы развития.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A8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несет ответственность за неисполнение либо ненадлежащее </w:t>
      </w:r>
      <w:r w:rsidR="00B06D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Программы развития МДОУ детский сад № 4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IX. Механизм реализации Программы развития муниципального дошкольного образовательного учреждения</w:t>
      </w:r>
      <w:r w:rsidR="00B06D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детский сад №4</w:t>
      </w:r>
      <w:bookmarkStart w:id="1" w:name="_GoBack"/>
      <w:bookmarkEnd w:id="1"/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основывается на реальных возможностях, которыми располагает учреждение. Механизм реализации программы предусматривает: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программы за счет:</w:t>
      </w:r>
    </w:p>
    <w:p w:rsidR="00023BC2" w:rsidRPr="00023BC2" w:rsidRDefault="00023BC2" w:rsidP="00023B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 (заработная плата участникам реализации программы развития детского сада);</w:t>
      </w:r>
    </w:p>
    <w:p w:rsidR="00023BC2" w:rsidRPr="00023BC2" w:rsidRDefault="00023BC2" w:rsidP="00023B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 средств;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-спонсорской помощи, оказываемой юридическими и физическими лицами.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партнерство с другими социальными институтами за счет:</w:t>
      </w:r>
    </w:p>
    <w:p w:rsidR="00023BC2" w:rsidRPr="00023BC2" w:rsidRDefault="00023BC2" w:rsidP="00023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переосмысления стереотипов взаимодействия детского сада и других организаций;</w:t>
      </w:r>
    </w:p>
    <w:p w:rsidR="00023BC2" w:rsidRPr="00023BC2" w:rsidRDefault="00023BC2" w:rsidP="00023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коллективом детского сада значимости партнерства с субъектами внешней среды как взаимовыгодного взаимодействия;</w:t>
      </w:r>
    </w:p>
    <w:p w:rsidR="00023BC2" w:rsidRPr="00023BC2" w:rsidRDefault="00023BC2" w:rsidP="00023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механизмов эффективного взаимодействия с субъектами внешней среды;</w:t>
      </w:r>
    </w:p>
    <w:p w:rsidR="00023BC2" w:rsidRPr="00023BC2" w:rsidRDefault="00023BC2" w:rsidP="00023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позитивного имиджа детского сада.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Модернизацию системы управления и менеджмента детского сада за счет:</w:t>
      </w:r>
    </w:p>
    <w:p w:rsidR="00023BC2" w:rsidRPr="00023BC2" w:rsidRDefault="00023BC2" w:rsidP="00023B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участниками сущности и значения стратегического проектирования;</w:t>
      </w:r>
    </w:p>
    <w:p w:rsidR="00023BC2" w:rsidRPr="00023BC2" w:rsidRDefault="00023BC2" w:rsidP="00023B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информационной основы выделения функций управления;</w:t>
      </w:r>
    </w:p>
    <w:p w:rsidR="00023BC2" w:rsidRPr="00023BC2" w:rsidRDefault="00023BC2" w:rsidP="00023B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последовательности действий по созданию эффективной структуры управления.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кадровых, нормативно-правовых, научно-методических условий, позволяющих реализовывать программу в полном объеме и в намеченные сроки за счет:</w:t>
      </w:r>
    </w:p>
    <w:p w:rsidR="00023BC2" w:rsidRPr="00023BC2" w:rsidRDefault="00023BC2" w:rsidP="00023B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в соответствие нормативно-правовой базы;</w:t>
      </w:r>
    </w:p>
    <w:p w:rsidR="00023BC2" w:rsidRPr="00023BC2" w:rsidRDefault="00023BC2" w:rsidP="00023B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системы стимулирования в детском саду.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Реорганизацию системы повышения квалификации:</w:t>
      </w:r>
    </w:p>
    <w:p w:rsidR="00023BC2" w:rsidRPr="00023BC2" w:rsidRDefault="00023BC2" w:rsidP="00023B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содержания (введение новых целевых образовательных программ);</w:t>
      </w:r>
    </w:p>
    <w:p w:rsidR="00023BC2" w:rsidRPr="00023BC2" w:rsidRDefault="00023BC2" w:rsidP="00023B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образовательных услуг, изменения форм и методов.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BC2" w:rsidRPr="00023BC2" w:rsidRDefault="00023BC2" w:rsidP="0002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Выводы: </w:t>
      </w:r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ДОУ в режиме развития — целенаправленный, закономерный, непрерывный и необратимый процесс перехода учреждения в качественно новое состояние, характеризующийся </w:t>
      </w:r>
      <w:proofErr w:type="spellStart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разноуровневой</w:t>
      </w:r>
      <w:proofErr w:type="spellEnd"/>
      <w:r w:rsidRPr="0002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организацией, культурно-творческой направленностью и использованием постоянно расширяющегося потенциала развития.</w:t>
      </w:r>
    </w:p>
    <w:p w:rsidR="003F35EE" w:rsidRDefault="003F35EE"/>
    <w:sectPr w:rsidR="003F35EE" w:rsidSect="00023B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DE"/>
    <w:multiLevelType w:val="multilevel"/>
    <w:tmpl w:val="E9C2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07165"/>
    <w:multiLevelType w:val="multilevel"/>
    <w:tmpl w:val="DD52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D29BA"/>
    <w:multiLevelType w:val="multilevel"/>
    <w:tmpl w:val="00C28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D7EC3"/>
    <w:multiLevelType w:val="multilevel"/>
    <w:tmpl w:val="B450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E516E"/>
    <w:multiLevelType w:val="multilevel"/>
    <w:tmpl w:val="4F18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B2768"/>
    <w:multiLevelType w:val="multilevel"/>
    <w:tmpl w:val="156C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F5E61"/>
    <w:multiLevelType w:val="multilevel"/>
    <w:tmpl w:val="E9E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E0F6D"/>
    <w:multiLevelType w:val="multilevel"/>
    <w:tmpl w:val="0756E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9504C"/>
    <w:multiLevelType w:val="multilevel"/>
    <w:tmpl w:val="854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E02B3"/>
    <w:multiLevelType w:val="multilevel"/>
    <w:tmpl w:val="8FFE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815D2"/>
    <w:multiLevelType w:val="multilevel"/>
    <w:tmpl w:val="9966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3E3E3E"/>
    <w:multiLevelType w:val="multilevel"/>
    <w:tmpl w:val="1654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E605FD"/>
    <w:multiLevelType w:val="multilevel"/>
    <w:tmpl w:val="BB40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7639D"/>
    <w:multiLevelType w:val="multilevel"/>
    <w:tmpl w:val="A4CA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A70D83"/>
    <w:multiLevelType w:val="multilevel"/>
    <w:tmpl w:val="2E5C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38532D"/>
    <w:multiLevelType w:val="multilevel"/>
    <w:tmpl w:val="64F8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510CA0"/>
    <w:multiLevelType w:val="multilevel"/>
    <w:tmpl w:val="1E6A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127BD"/>
    <w:multiLevelType w:val="multilevel"/>
    <w:tmpl w:val="56AE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C7DA6"/>
    <w:multiLevelType w:val="multilevel"/>
    <w:tmpl w:val="4CC4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055A47"/>
    <w:multiLevelType w:val="multilevel"/>
    <w:tmpl w:val="1ADE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5007BC"/>
    <w:multiLevelType w:val="multilevel"/>
    <w:tmpl w:val="E010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604BD"/>
    <w:multiLevelType w:val="multilevel"/>
    <w:tmpl w:val="D5A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2B7083"/>
    <w:multiLevelType w:val="multilevel"/>
    <w:tmpl w:val="693C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460EC5"/>
    <w:multiLevelType w:val="multilevel"/>
    <w:tmpl w:val="A67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636BA9"/>
    <w:multiLevelType w:val="multilevel"/>
    <w:tmpl w:val="065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356FEA"/>
    <w:multiLevelType w:val="multilevel"/>
    <w:tmpl w:val="832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C1635E"/>
    <w:multiLevelType w:val="multilevel"/>
    <w:tmpl w:val="A72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F2844"/>
    <w:multiLevelType w:val="multilevel"/>
    <w:tmpl w:val="CF4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8603B"/>
    <w:multiLevelType w:val="multilevel"/>
    <w:tmpl w:val="24A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814B09"/>
    <w:multiLevelType w:val="multilevel"/>
    <w:tmpl w:val="A73AC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641244"/>
    <w:multiLevelType w:val="multilevel"/>
    <w:tmpl w:val="F65A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B2612A"/>
    <w:multiLevelType w:val="multilevel"/>
    <w:tmpl w:val="9444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843F9F"/>
    <w:multiLevelType w:val="multilevel"/>
    <w:tmpl w:val="0F74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4015EF"/>
    <w:multiLevelType w:val="multilevel"/>
    <w:tmpl w:val="647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01C4C"/>
    <w:multiLevelType w:val="multilevel"/>
    <w:tmpl w:val="8E7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090524"/>
    <w:multiLevelType w:val="multilevel"/>
    <w:tmpl w:val="D268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D503A0"/>
    <w:multiLevelType w:val="multilevel"/>
    <w:tmpl w:val="583A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982729"/>
    <w:multiLevelType w:val="multilevel"/>
    <w:tmpl w:val="00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BB2991"/>
    <w:multiLevelType w:val="multilevel"/>
    <w:tmpl w:val="B4FC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2B6E15"/>
    <w:multiLevelType w:val="multilevel"/>
    <w:tmpl w:val="C84A3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3"/>
  </w:num>
  <w:num w:numId="3">
    <w:abstractNumId w:val="10"/>
  </w:num>
  <w:num w:numId="4">
    <w:abstractNumId w:val="38"/>
  </w:num>
  <w:num w:numId="5">
    <w:abstractNumId w:val="4"/>
  </w:num>
  <w:num w:numId="6">
    <w:abstractNumId w:val="32"/>
  </w:num>
  <w:num w:numId="7">
    <w:abstractNumId w:val="9"/>
  </w:num>
  <w:num w:numId="8">
    <w:abstractNumId w:val="8"/>
  </w:num>
  <w:num w:numId="9">
    <w:abstractNumId w:val="5"/>
  </w:num>
  <w:num w:numId="10">
    <w:abstractNumId w:val="20"/>
  </w:num>
  <w:num w:numId="11">
    <w:abstractNumId w:val="21"/>
  </w:num>
  <w:num w:numId="12">
    <w:abstractNumId w:val="17"/>
  </w:num>
  <w:num w:numId="13">
    <w:abstractNumId w:val="13"/>
  </w:num>
  <w:num w:numId="14">
    <w:abstractNumId w:val="11"/>
  </w:num>
  <w:num w:numId="15">
    <w:abstractNumId w:val="26"/>
  </w:num>
  <w:num w:numId="16">
    <w:abstractNumId w:val="35"/>
  </w:num>
  <w:num w:numId="17">
    <w:abstractNumId w:val="19"/>
  </w:num>
  <w:num w:numId="18">
    <w:abstractNumId w:val="18"/>
  </w:num>
  <w:num w:numId="19">
    <w:abstractNumId w:val="1"/>
  </w:num>
  <w:num w:numId="20">
    <w:abstractNumId w:val="31"/>
  </w:num>
  <w:num w:numId="21">
    <w:abstractNumId w:val="14"/>
  </w:num>
  <w:num w:numId="22">
    <w:abstractNumId w:val="27"/>
  </w:num>
  <w:num w:numId="23">
    <w:abstractNumId w:val="33"/>
  </w:num>
  <w:num w:numId="24">
    <w:abstractNumId w:val="3"/>
  </w:num>
  <w:num w:numId="25">
    <w:abstractNumId w:val="0"/>
  </w:num>
  <w:num w:numId="26">
    <w:abstractNumId w:val="15"/>
  </w:num>
  <w:num w:numId="27">
    <w:abstractNumId w:val="24"/>
  </w:num>
  <w:num w:numId="28">
    <w:abstractNumId w:val="30"/>
  </w:num>
  <w:num w:numId="29">
    <w:abstractNumId w:val="34"/>
  </w:num>
  <w:num w:numId="30">
    <w:abstractNumId w:val="12"/>
  </w:num>
  <w:num w:numId="31">
    <w:abstractNumId w:val="22"/>
  </w:num>
  <w:num w:numId="32">
    <w:abstractNumId w:val="37"/>
  </w:num>
  <w:num w:numId="33">
    <w:abstractNumId w:val="7"/>
  </w:num>
  <w:num w:numId="34">
    <w:abstractNumId w:val="16"/>
  </w:num>
  <w:num w:numId="35">
    <w:abstractNumId w:val="29"/>
  </w:num>
  <w:num w:numId="36">
    <w:abstractNumId w:val="6"/>
  </w:num>
  <w:num w:numId="37">
    <w:abstractNumId w:val="2"/>
  </w:num>
  <w:num w:numId="38">
    <w:abstractNumId w:val="28"/>
  </w:num>
  <w:num w:numId="39">
    <w:abstractNumId w:val="3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BC2"/>
    <w:rsid w:val="00023BC2"/>
    <w:rsid w:val="00032287"/>
    <w:rsid w:val="000C6555"/>
    <w:rsid w:val="00341EB9"/>
    <w:rsid w:val="00355F5D"/>
    <w:rsid w:val="003F35EE"/>
    <w:rsid w:val="00460908"/>
    <w:rsid w:val="004C31F5"/>
    <w:rsid w:val="005E1BBC"/>
    <w:rsid w:val="00925DE8"/>
    <w:rsid w:val="00A87EF4"/>
    <w:rsid w:val="00B06D2E"/>
    <w:rsid w:val="00C83A5E"/>
    <w:rsid w:val="00D579D6"/>
    <w:rsid w:val="00DC6B3A"/>
    <w:rsid w:val="00E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E"/>
  </w:style>
  <w:style w:type="paragraph" w:styleId="1">
    <w:name w:val="heading 1"/>
    <w:basedOn w:val="a"/>
    <w:link w:val="10"/>
    <w:uiPriority w:val="9"/>
    <w:qFormat/>
    <w:rsid w:val="00023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BC2"/>
    <w:rPr>
      <w:b/>
      <w:bCs/>
    </w:rPr>
  </w:style>
  <w:style w:type="character" w:styleId="a5">
    <w:name w:val="Emphasis"/>
    <w:basedOn w:val="a0"/>
    <w:uiPriority w:val="20"/>
    <w:qFormat/>
    <w:rsid w:val="00023BC2"/>
    <w:rPr>
      <w:i/>
      <w:iCs/>
    </w:rPr>
  </w:style>
  <w:style w:type="character" w:styleId="a6">
    <w:name w:val="Hyperlink"/>
    <w:basedOn w:val="a0"/>
    <w:uiPriority w:val="99"/>
    <w:unhideWhenUsed/>
    <w:rsid w:val="00023B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4-sokol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4sok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39</Pages>
  <Words>6553</Words>
  <Characters>37355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Сокольники</dc:creator>
  <cp:lastModifiedBy>Мой</cp:lastModifiedBy>
  <cp:revision>3</cp:revision>
  <dcterms:created xsi:type="dcterms:W3CDTF">2024-09-22T13:54:00Z</dcterms:created>
  <dcterms:modified xsi:type="dcterms:W3CDTF">2025-10-13T06:19:00Z</dcterms:modified>
</cp:coreProperties>
</file>